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6E347" w14:textId="77777777" w:rsidR="007E7A7A" w:rsidRDefault="007E7A7A">
      <w:pPr>
        <w:sectPr w:rsidR="007E7A7A">
          <w:headerReference w:type="default" r:id="rId7"/>
          <w:footerReference w:type="default" r:id="rId8"/>
          <w:type w:val="continuous"/>
          <w:pgSz w:w="12240" w:h="15840" w:code="1"/>
          <w:pgMar w:top="2340" w:right="1800" w:bottom="1170" w:left="1800" w:header="720" w:footer="720" w:gutter="0"/>
          <w:cols w:space="720"/>
        </w:sectPr>
      </w:pPr>
    </w:p>
    <w:p w14:paraId="3CD9F2FC" w14:textId="088F55BD" w:rsidR="00281EE0" w:rsidRDefault="007E7A7A" w:rsidP="009A7065">
      <w:pPr>
        <w:rPr>
          <w:bCs/>
          <w:sz w:val="24"/>
        </w:rPr>
      </w:pPr>
      <w:r w:rsidRPr="009A7065">
        <w:rPr>
          <w:b/>
          <w:sz w:val="24"/>
        </w:rPr>
        <w:t>TO:</w:t>
      </w:r>
      <w:r w:rsidR="00E642CB" w:rsidRPr="009A7065">
        <w:rPr>
          <w:b/>
          <w:sz w:val="24"/>
        </w:rPr>
        <w:tab/>
      </w:r>
      <w:r w:rsidR="009A7065">
        <w:rPr>
          <w:b/>
          <w:sz w:val="24"/>
        </w:rPr>
        <w:tab/>
      </w:r>
      <w:r w:rsidR="009B345E">
        <w:rPr>
          <w:bCs/>
          <w:sz w:val="24"/>
        </w:rPr>
        <w:t>Daniel Moore</w:t>
      </w:r>
      <w:r w:rsidR="006545A1">
        <w:rPr>
          <w:bCs/>
          <w:sz w:val="24"/>
        </w:rPr>
        <w:t>, Attorney</w:t>
      </w:r>
    </w:p>
    <w:p w14:paraId="4E1EAF51" w14:textId="5A8EBB23" w:rsidR="006545A1" w:rsidRPr="006545A1" w:rsidRDefault="006545A1" w:rsidP="009A7065">
      <w:pPr>
        <w:rPr>
          <w:bCs/>
          <w:sz w:val="24"/>
        </w:rPr>
      </w:pPr>
      <w:r>
        <w:rPr>
          <w:bCs/>
          <w:sz w:val="24"/>
        </w:rPr>
        <w:tab/>
      </w:r>
      <w:r>
        <w:rPr>
          <w:bCs/>
          <w:sz w:val="24"/>
        </w:rPr>
        <w:tab/>
        <w:t>Legal Division</w:t>
      </w:r>
    </w:p>
    <w:p w14:paraId="104B7F5F" w14:textId="77777777" w:rsidR="007E7A7A" w:rsidRPr="00D70E7D" w:rsidRDefault="007E7A7A">
      <w:pPr>
        <w:tabs>
          <w:tab w:val="left" w:pos="1170"/>
        </w:tabs>
        <w:rPr>
          <w:sz w:val="24"/>
        </w:rPr>
      </w:pPr>
      <w:r w:rsidRPr="00D70E7D">
        <w:rPr>
          <w:sz w:val="24"/>
        </w:rPr>
        <w:tab/>
      </w:r>
      <w:r w:rsidRPr="00D70E7D">
        <w:rPr>
          <w:sz w:val="24"/>
        </w:rPr>
        <w:tab/>
      </w:r>
    </w:p>
    <w:p w14:paraId="3B62207A" w14:textId="41B4EF78" w:rsidR="00732686" w:rsidRPr="006545A1" w:rsidRDefault="007E7A7A" w:rsidP="00732686">
      <w:pPr>
        <w:tabs>
          <w:tab w:val="left" w:pos="1170"/>
        </w:tabs>
        <w:rPr>
          <w:bCs/>
          <w:sz w:val="24"/>
        </w:rPr>
      </w:pPr>
      <w:r w:rsidRPr="009A7065">
        <w:rPr>
          <w:b/>
          <w:sz w:val="24"/>
        </w:rPr>
        <w:t>FROM:</w:t>
      </w:r>
      <w:r w:rsidR="003E5B27" w:rsidRPr="009A7065">
        <w:rPr>
          <w:b/>
          <w:sz w:val="24"/>
        </w:rPr>
        <w:tab/>
      </w:r>
      <w:r w:rsidR="009A7065">
        <w:rPr>
          <w:b/>
          <w:sz w:val="24"/>
        </w:rPr>
        <w:tab/>
      </w:r>
      <w:r w:rsidR="006545A1">
        <w:rPr>
          <w:bCs/>
          <w:sz w:val="24"/>
        </w:rPr>
        <w:t>Werner Roth, Market Economist</w:t>
      </w:r>
    </w:p>
    <w:p w14:paraId="3E84AE4E" w14:textId="370498F4" w:rsidR="00281EE0" w:rsidRPr="00281EE0" w:rsidRDefault="00281EE0" w:rsidP="00732686">
      <w:pPr>
        <w:tabs>
          <w:tab w:val="left" w:pos="1170"/>
        </w:tabs>
        <w:rPr>
          <w:sz w:val="24"/>
        </w:rPr>
      </w:pPr>
      <w:r w:rsidRPr="00281EE0">
        <w:rPr>
          <w:sz w:val="24"/>
        </w:rPr>
        <w:tab/>
      </w:r>
      <w:r w:rsidRPr="00281EE0">
        <w:rPr>
          <w:sz w:val="24"/>
        </w:rPr>
        <w:tab/>
      </w:r>
      <w:r w:rsidR="006545A1">
        <w:rPr>
          <w:sz w:val="24"/>
        </w:rPr>
        <w:t>Market Analysis Division</w:t>
      </w:r>
    </w:p>
    <w:p w14:paraId="031FB2D7" w14:textId="3FA6E543" w:rsidR="0088133C" w:rsidRPr="00D70E7D" w:rsidRDefault="007E7A7A">
      <w:pPr>
        <w:tabs>
          <w:tab w:val="left" w:pos="1170"/>
        </w:tabs>
        <w:spacing w:before="240"/>
        <w:rPr>
          <w:sz w:val="24"/>
        </w:rPr>
      </w:pPr>
      <w:r w:rsidRPr="009A7065">
        <w:rPr>
          <w:b/>
          <w:sz w:val="24"/>
        </w:rPr>
        <w:t>DATE:</w:t>
      </w:r>
      <w:r w:rsidRPr="009A7065">
        <w:rPr>
          <w:b/>
          <w:sz w:val="24"/>
        </w:rPr>
        <w:tab/>
      </w:r>
      <w:r w:rsidR="00C90D29" w:rsidRPr="009A7065">
        <w:rPr>
          <w:b/>
          <w:sz w:val="24"/>
        </w:rPr>
        <w:tab/>
      </w:r>
      <w:r w:rsidR="009B345E">
        <w:rPr>
          <w:bCs/>
          <w:sz w:val="24"/>
        </w:rPr>
        <w:t>September 3</w:t>
      </w:r>
      <w:r w:rsidR="006545A1">
        <w:rPr>
          <w:bCs/>
          <w:sz w:val="24"/>
        </w:rPr>
        <w:t>, 2020</w:t>
      </w:r>
      <w:r w:rsidR="009A7065">
        <w:rPr>
          <w:sz w:val="24"/>
        </w:rPr>
        <w:br/>
      </w:r>
    </w:p>
    <w:p w14:paraId="721CA709" w14:textId="292CA43F" w:rsidR="00C90D29" w:rsidRPr="009A7065" w:rsidRDefault="003E5B27" w:rsidP="009A7065">
      <w:pPr>
        <w:ind w:left="1440" w:right="-450" w:hanging="1440"/>
        <w:rPr>
          <w:b/>
          <w:sz w:val="24"/>
        </w:rPr>
      </w:pPr>
      <w:r w:rsidRPr="009A7065">
        <w:rPr>
          <w:b/>
          <w:sz w:val="24"/>
        </w:rPr>
        <w:t>RE:</w:t>
      </w:r>
      <w:r w:rsidRPr="009A7065">
        <w:rPr>
          <w:b/>
          <w:sz w:val="24"/>
        </w:rPr>
        <w:tab/>
      </w:r>
      <w:r w:rsidR="006545A1">
        <w:rPr>
          <w:bCs/>
          <w:sz w:val="24"/>
        </w:rPr>
        <w:t xml:space="preserve">Docket 50730- </w:t>
      </w:r>
      <w:r w:rsidR="00567B9F">
        <w:rPr>
          <w:bCs/>
          <w:sz w:val="24"/>
        </w:rPr>
        <w:t>Application of Energy Monger, LLC for a Retail Electric Provider Certificate</w:t>
      </w:r>
      <w:r w:rsidR="009A7065">
        <w:rPr>
          <w:b/>
          <w:sz w:val="24"/>
        </w:rPr>
        <w:tab/>
      </w:r>
    </w:p>
    <w:p w14:paraId="504108AB" w14:textId="77777777" w:rsidR="00281EE0" w:rsidRDefault="00F54886" w:rsidP="005C382D">
      <w:pPr>
        <w:tabs>
          <w:tab w:val="left" w:pos="1170"/>
        </w:tabs>
        <w:ind w:left="1170" w:right="-450" w:hanging="1170"/>
        <w:rPr>
          <w:sz w:val="24"/>
        </w:rPr>
      </w:pPr>
      <w:r>
        <w:rPr>
          <w:noProof/>
          <w:sz w:val="24"/>
        </w:rPr>
        <mc:AlternateContent>
          <mc:Choice Requires="wps">
            <w:drawing>
              <wp:anchor distT="0" distB="0" distL="114300" distR="114300" simplePos="0" relativeHeight="251657728" behindDoc="0" locked="0" layoutInCell="1" allowOverlap="1" wp14:anchorId="05CE61C1" wp14:editId="5988EF65">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4B733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GmD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"/>
            </w:pict>
          </mc:Fallback>
        </mc:AlternateContent>
      </w:r>
      <w:r w:rsidR="00C90D29">
        <w:rPr>
          <w:sz w:val="24"/>
        </w:rPr>
        <w:tab/>
      </w:r>
    </w:p>
    <w:p w14:paraId="69F67763" w14:textId="77777777" w:rsidR="00281EE0" w:rsidRPr="00281EE0" w:rsidRDefault="00281EE0" w:rsidP="00281EE0">
      <w:pPr>
        <w:rPr>
          <w:sz w:val="24"/>
        </w:rPr>
      </w:pPr>
    </w:p>
    <w:p w14:paraId="2F4F070E" w14:textId="5260E88C" w:rsidR="00281EE0" w:rsidRDefault="00567B9F" w:rsidP="00EC2E65">
      <w:pPr>
        <w:jc w:val="both"/>
        <w:rPr>
          <w:sz w:val="24"/>
        </w:rPr>
      </w:pPr>
      <w:r>
        <w:rPr>
          <w:sz w:val="24"/>
        </w:rPr>
        <w:t>On April 2, 2020, Energy Monger, LLC (Energy Monger) filed an application (</w:t>
      </w:r>
      <w:r w:rsidR="000A13C3">
        <w:rPr>
          <w:sz w:val="24"/>
        </w:rPr>
        <w:t xml:space="preserve">Initial </w:t>
      </w:r>
      <w:r w:rsidR="00EC2E65">
        <w:rPr>
          <w:sz w:val="24"/>
        </w:rPr>
        <w:t>A</w:t>
      </w:r>
      <w:r>
        <w:rPr>
          <w:sz w:val="24"/>
        </w:rPr>
        <w:t xml:space="preserve">pplication) with the Public Utility Commission of Texas (Commission) requesting an Option 1 Retail Electric Provider (REP) certificate to provide retail electric services </w:t>
      </w:r>
      <w:r w:rsidR="00EC2E65">
        <w:rPr>
          <w:sz w:val="24"/>
        </w:rPr>
        <w:t>in ERCOT. On April 16, 2020, Energy Monger requested a 90-day extension of time, which was granted in Order No. 2 on April 22, 2020. On July 21, 2020, Energy Monger filed an amended application (Amended Application</w:t>
      </w:r>
      <w:r w:rsidR="006D0363">
        <w:rPr>
          <w:sz w:val="24"/>
        </w:rPr>
        <w:t>)</w:t>
      </w:r>
      <w:r w:rsidR="000A13C3">
        <w:rPr>
          <w:sz w:val="24"/>
        </w:rPr>
        <w:t xml:space="preserve"> </w:t>
      </w:r>
      <w:r w:rsidR="006D0363">
        <w:rPr>
          <w:sz w:val="24"/>
        </w:rPr>
        <w:t>(</w:t>
      </w:r>
      <w:r w:rsidR="0089382B">
        <w:rPr>
          <w:sz w:val="24"/>
        </w:rPr>
        <w:t>c</w:t>
      </w:r>
      <w:r w:rsidR="006D0363">
        <w:rPr>
          <w:sz w:val="24"/>
        </w:rPr>
        <w:t xml:space="preserve">ollectively </w:t>
      </w:r>
      <w:r w:rsidR="000A13C3">
        <w:rPr>
          <w:sz w:val="24"/>
        </w:rPr>
        <w:t>with Initial Application, Application</w:t>
      </w:r>
      <w:r w:rsidR="00EC2E65">
        <w:rPr>
          <w:sz w:val="24"/>
        </w:rPr>
        <w:t xml:space="preserve">). On July </w:t>
      </w:r>
      <w:r w:rsidR="009B345E">
        <w:rPr>
          <w:sz w:val="24"/>
        </w:rPr>
        <w:t>24</w:t>
      </w:r>
      <w:r w:rsidR="00EC2E65">
        <w:rPr>
          <w:sz w:val="24"/>
        </w:rPr>
        <w:t xml:space="preserve">, 2020, Order No. 3 found the Application </w:t>
      </w:r>
      <w:proofErr w:type="gramStart"/>
      <w:r w:rsidR="00EC2E65">
        <w:rPr>
          <w:sz w:val="24"/>
        </w:rPr>
        <w:t>sufficient</w:t>
      </w:r>
      <w:proofErr w:type="gramEnd"/>
      <w:r w:rsidR="00EC2E65">
        <w:rPr>
          <w:sz w:val="24"/>
        </w:rPr>
        <w:t xml:space="preserve"> and directed Commission Staff to file </w:t>
      </w:r>
      <w:r w:rsidR="0089382B">
        <w:rPr>
          <w:sz w:val="24"/>
        </w:rPr>
        <w:t>a</w:t>
      </w:r>
      <w:r w:rsidR="00EC2E65">
        <w:rPr>
          <w:sz w:val="24"/>
        </w:rPr>
        <w:t xml:space="preserve"> final recommendation on or before </w:t>
      </w:r>
      <w:r w:rsidR="009B345E">
        <w:rPr>
          <w:sz w:val="24"/>
        </w:rPr>
        <w:t>September 3</w:t>
      </w:r>
      <w:r w:rsidR="00EC2E65">
        <w:rPr>
          <w:sz w:val="24"/>
        </w:rPr>
        <w:t>, 2020.</w:t>
      </w:r>
    </w:p>
    <w:p w14:paraId="00D48BFB" w14:textId="750ABC1A" w:rsidR="00EC2E65" w:rsidRDefault="00EC2E65" w:rsidP="00EC2E65">
      <w:pPr>
        <w:jc w:val="both"/>
        <w:rPr>
          <w:sz w:val="24"/>
        </w:rPr>
      </w:pPr>
    </w:p>
    <w:p w14:paraId="37DF19D3" w14:textId="4B3AECA5" w:rsidR="00EC2E65" w:rsidRDefault="00EC2E65" w:rsidP="00EC2E65">
      <w:pPr>
        <w:jc w:val="both"/>
        <w:rPr>
          <w:b/>
          <w:bCs/>
          <w:sz w:val="24"/>
          <w:u w:val="single"/>
        </w:rPr>
      </w:pPr>
      <w:r>
        <w:rPr>
          <w:b/>
          <w:bCs/>
          <w:sz w:val="24"/>
          <w:u w:val="single"/>
        </w:rPr>
        <w:t>Analysis</w:t>
      </w:r>
    </w:p>
    <w:p w14:paraId="2E956297" w14:textId="33F3FCDE" w:rsidR="00EC2E65" w:rsidRDefault="00EC2E65" w:rsidP="00EC2E65">
      <w:pPr>
        <w:jc w:val="both"/>
        <w:rPr>
          <w:b/>
          <w:bCs/>
          <w:sz w:val="24"/>
          <w:u w:val="single"/>
        </w:rPr>
      </w:pPr>
    </w:p>
    <w:p w14:paraId="3238AB76" w14:textId="0D0E7669" w:rsidR="00EC2E65" w:rsidRDefault="00EC2E65" w:rsidP="00EC2E65">
      <w:pPr>
        <w:jc w:val="both"/>
        <w:rPr>
          <w:i/>
          <w:iCs/>
          <w:sz w:val="24"/>
        </w:rPr>
      </w:pPr>
      <w:r>
        <w:rPr>
          <w:i/>
          <w:iCs/>
          <w:sz w:val="24"/>
        </w:rPr>
        <w:t>Access to Capital</w:t>
      </w:r>
    </w:p>
    <w:p w14:paraId="7EE14586" w14:textId="23352C67" w:rsidR="00EC2E65" w:rsidRDefault="00EC2E65" w:rsidP="00EC2E65">
      <w:pPr>
        <w:jc w:val="both"/>
        <w:rPr>
          <w:i/>
          <w:iCs/>
          <w:sz w:val="24"/>
        </w:rPr>
      </w:pPr>
    </w:p>
    <w:p w14:paraId="49F535AC" w14:textId="1830CBA2" w:rsidR="00EC2E65" w:rsidRDefault="00EC2E65" w:rsidP="00EC2E65">
      <w:pPr>
        <w:jc w:val="both"/>
        <w:rPr>
          <w:sz w:val="24"/>
        </w:rPr>
      </w:pPr>
      <w:r>
        <w:rPr>
          <w:sz w:val="24"/>
        </w:rPr>
        <w:t xml:space="preserve">In order to obtain a REP certificate, an applicant must demonstrate adequate access to capital. The applicant can demonstrate compliance by meeting the requirements of either 16 Texas Administrative Code (TAC) § 25.107(f)(1)(A) or 16 TAC § 25.107(f)(1)(B). </w:t>
      </w:r>
      <w:r w:rsidR="00F450BD">
        <w:rPr>
          <w:sz w:val="24"/>
        </w:rPr>
        <w:t>Energy Monger stated</w:t>
      </w:r>
      <w:r>
        <w:rPr>
          <w:sz w:val="24"/>
        </w:rPr>
        <w:t xml:space="preserve"> its intention to meet the access to capital requirements under 16 TAC § 25.107(f)(1)(B), which states the following:</w:t>
      </w:r>
    </w:p>
    <w:p w14:paraId="3C84C456" w14:textId="4C6CE877" w:rsidR="00EC2E65" w:rsidRDefault="00EC2E65" w:rsidP="00EC2E65">
      <w:pPr>
        <w:jc w:val="both"/>
        <w:rPr>
          <w:sz w:val="24"/>
        </w:rPr>
      </w:pPr>
    </w:p>
    <w:p w14:paraId="091EFEA4" w14:textId="63EC08D3" w:rsidR="00EC2E65" w:rsidRDefault="00EC2E65" w:rsidP="00AA7313">
      <w:pPr>
        <w:autoSpaceDE w:val="0"/>
        <w:autoSpaceDN w:val="0"/>
        <w:adjustRightInd w:val="0"/>
        <w:ind w:left="720" w:right="720"/>
        <w:jc w:val="both"/>
        <w:rPr>
          <w:sz w:val="24"/>
          <w:szCs w:val="24"/>
        </w:rPr>
      </w:pPr>
      <w:r>
        <w:rPr>
          <w:sz w:val="24"/>
          <w:szCs w:val="24"/>
        </w:rPr>
        <w:t>A REP electing to meet the requirements of this subparagraph must demonstrate shareholders' equity, determined in accordance with generally accepted accounting principles, of not less than one million dollars for the purpose of obtaining certification, and the REP or its guarantor must provide and maintain an irrevocable stand-by letter of credit payable to the commission with a face value of $500,000 for the purpose of maintaining certification.</w:t>
      </w:r>
    </w:p>
    <w:p w14:paraId="2490B1B9" w14:textId="5DFEC4B2" w:rsidR="00EC2E65" w:rsidRDefault="00EC2E65" w:rsidP="00EC2E65">
      <w:pPr>
        <w:autoSpaceDE w:val="0"/>
        <w:autoSpaceDN w:val="0"/>
        <w:adjustRightInd w:val="0"/>
        <w:jc w:val="both"/>
        <w:rPr>
          <w:sz w:val="24"/>
          <w:szCs w:val="24"/>
        </w:rPr>
      </w:pPr>
    </w:p>
    <w:p w14:paraId="11CCCD3D" w14:textId="2300C970" w:rsidR="00EC2E65" w:rsidRDefault="00EC2E65" w:rsidP="00EC2E65">
      <w:pPr>
        <w:autoSpaceDE w:val="0"/>
        <w:autoSpaceDN w:val="0"/>
        <w:adjustRightInd w:val="0"/>
        <w:jc w:val="both"/>
        <w:rPr>
          <w:sz w:val="24"/>
        </w:rPr>
      </w:pPr>
      <w:r>
        <w:rPr>
          <w:sz w:val="24"/>
          <w:szCs w:val="24"/>
        </w:rPr>
        <w:t xml:space="preserve">In </w:t>
      </w:r>
      <w:r w:rsidR="00F450BD">
        <w:rPr>
          <w:sz w:val="24"/>
          <w:szCs w:val="24"/>
        </w:rPr>
        <w:t xml:space="preserve">its </w:t>
      </w:r>
      <w:r>
        <w:rPr>
          <w:sz w:val="24"/>
          <w:szCs w:val="24"/>
        </w:rPr>
        <w:t xml:space="preserve">Application, </w:t>
      </w:r>
      <w:r w:rsidR="000A13C3">
        <w:rPr>
          <w:sz w:val="24"/>
          <w:szCs w:val="24"/>
        </w:rPr>
        <w:t xml:space="preserve">Energy Monger submitted audited financials that demonstrated that its shareholders’ equity is not less than one million dollars. Also, Energy Monger has filed a letter of credit with a face value of $500,000 in the Commission’s Project No. 37919. Therefore, Energy Monger has satisfied the requirements under 16 TAC </w:t>
      </w:r>
      <w:r w:rsidR="000A13C3">
        <w:rPr>
          <w:sz w:val="24"/>
        </w:rPr>
        <w:t>§ 25.107(f)(1)(B).</w:t>
      </w:r>
    </w:p>
    <w:p w14:paraId="22D2111B" w14:textId="6FE7071B" w:rsidR="000A13C3" w:rsidRDefault="000A13C3" w:rsidP="00EC2E65">
      <w:pPr>
        <w:autoSpaceDE w:val="0"/>
        <w:autoSpaceDN w:val="0"/>
        <w:adjustRightInd w:val="0"/>
        <w:jc w:val="both"/>
        <w:rPr>
          <w:sz w:val="24"/>
        </w:rPr>
      </w:pPr>
    </w:p>
    <w:p w14:paraId="0D088FE5" w14:textId="400E072A" w:rsidR="000A13C3" w:rsidRDefault="000A13C3" w:rsidP="00EC2E65">
      <w:pPr>
        <w:autoSpaceDE w:val="0"/>
        <w:autoSpaceDN w:val="0"/>
        <w:adjustRightInd w:val="0"/>
        <w:jc w:val="both"/>
        <w:rPr>
          <w:i/>
          <w:iCs/>
          <w:sz w:val="24"/>
        </w:rPr>
      </w:pPr>
      <w:r>
        <w:rPr>
          <w:i/>
          <w:iCs/>
          <w:sz w:val="24"/>
        </w:rPr>
        <w:lastRenderedPageBreak/>
        <w:t>Risk Manager Experience</w:t>
      </w:r>
    </w:p>
    <w:p w14:paraId="7535B257" w14:textId="2807BCE0" w:rsidR="000A13C3" w:rsidRDefault="000A13C3" w:rsidP="00EC2E65">
      <w:pPr>
        <w:autoSpaceDE w:val="0"/>
        <w:autoSpaceDN w:val="0"/>
        <w:adjustRightInd w:val="0"/>
        <w:jc w:val="both"/>
        <w:rPr>
          <w:i/>
          <w:iCs/>
          <w:sz w:val="24"/>
        </w:rPr>
      </w:pPr>
    </w:p>
    <w:p w14:paraId="4BE5AE39" w14:textId="61080251" w:rsidR="000A13C3" w:rsidRDefault="000A13C3" w:rsidP="00EC2E65">
      <w:pPr>
        <w:autoSpaceDE w:val="0"/>
        <w:autoSpaceDN w:val="0"/>
        <w:adjustRightInd w:val="0"/>
        <w:jc w:val="both"/>
        <w:rPr>
          <w:sz w:val="24"/>
        </w:rPr>
      </w:pPr>
      <w:r>
        <w:rPr>
          <w:sz w:val="24"/>
        </w:rPr>
        <w:t xml:space="preserve">In order to obtain a REP certificate, an applicant must demonstrate that a principal employee, a permanent employee, or a provider of commodity risk management services possesses adequate energy commodity risk management experience. Specifically, 16 TAC </w:t>
      </w:r>
      <w:r w:rsidR="00AE0AA1">
        <w:rPr>
          <w:sz w:val="24"/>
        </w:rPr>
        <w:t>§ 25.107(g)(1)(E), state</w:t>
      </w:r>
      <w:r w:rsidR="0089382B">
        <w:rPr>
          <w:sz w:val="24"/>
        </w:rPr>
        <w:t>s</w:t>
      </w:r>
      <w:r w:rsidR="00AE0AA1">
        <w:rPr>
          <w:sz w:val="24"/>
        </w:rPr>
        <w:t xml:space="preserve"> the following:</w:t>
      </w:r>
    </w:p>
    <w:p w14:paraId="04467A9D" w14:textId="1EDA949B" w:rsidR="00AE0AA1" w:rsidRDefault="00AE0AA1" w:rsidP="00EC2E65">
      <w:pPr>
        <w:autoSpaceDE w:val="0"/>
        <w:autoSpaceDN w:val="0"/>
        <w:adjustRightInd w:val="0"/>
        <w:jc w:val="both"/>
        <w:rPr>
          <w:sz w:val="24"/>
        </w:rPr>
      </w:pPr>
    </w:p>
    <w:p w14:paraId="4283C14B" w14:textId="47E721FC" w:rsidR="00AE0AA1" w:rsidRPr="00AE0AA1" w:rsidRDefault="00AE0AA1" w:rsidP="00AA7313">
      <w:pPr>
        <w:autoSpaceDE w:val="0"/>
        <w:autoSpaceDN w:val="0"/>
        <w:adjustRightInd w:val="0"/>
        <w:ind w:left="720" w:right="720"/>
        <w:jc w:val="both"/>
        <w:rPr>
          <w:sz w:val="24"/>
          <w:szCs w:val="24"/>
        </w:rPr>
      </w:pPr>
      <w:r>
        <w:rPr>
          <w:sz w:val="24"/>
          <w:szCs w:val="24"/>
        </w:rPr>
        <w:t>At least one principal or permanent employee who has five years of experience in energy commodity risk management of a substantial energy portfolio. Alternatively, the rule provides that a REP may provide documentation demonstrating that the REP has entered into a contract for a term not less than two years with a provider of commodity risk management services that has been providing such services for a substantial energy portfolio for at least five years. A substantial energy portfolio means managing electricity or gas market risks with a minimum value of at least $10,000,000.</w:t>
      </w:r>
    </w:p>
    <w:p w14:paraId="0BF78A16" w14:textId="090F931F" w:rsidR="000A13C3" w:rsidRDefault="000A13C3" w:rsidP="00EC2E65">
      <w:pPr>
        <w:autoSpaceDE w:val="0"/>
        <w:autoSpaceDN w:val="0"/>
        <w:adjustRightInd w:val="0"/>
        <w:jc w:val="both"/>
        <w:rPr>
          <w:sz w:val="24"/>
        </w:rPr>
      </w:pPr>
    </w:p>
    <w:p w14:paraId="358BC62F" w14:textId="0B4DD5D7" w:rsidR="00AE0AA1" w:rsidRDefault="00AE0AA1" w:rsidP="00EC2E65">
      <w:pPr>
        <w:autoSpaceDE w:val="0"/>
        <w:autoSpaceDN w:val="0"/>
        <w:adjustRightInd w:val="0"/>
        <w:jc w:val="both"/>
        <w:rPr>
          <w:sz w:val="24"/>
        </w:rPr>
      </w:pPr>
      <w:r>
        <w:rPr>
          <w:sz w:val="24"/>
        </w:rPr>
        <w:t xml:space="preserve">In the Application, Energy Monger provided the resume of </w:t>
      </w:r>
      <w:r w:rsidR="00A01232">
        <w:rPr>
          <w:sz w:val="24"/>
        </w:rPr>
        <w:t>at least one principal employee</w:t>
      </w:r>
      <w:r w:rsidR="00B656FF">
        <w:rPr>
          <w:sz w:val="24"/>
        </w:rPr>
        <w:t xml:space="preserve"> who has five years of experience in energy commodity risk management of a substantial energy portfolio. Therefore, Energy Monger has satisfied the requirements </w:t>
      </w:r>
      <w:r w:rsidR="006D0363">
        <w:rPr>
          <w:sz w:val="24"/>
        </w:rPr>
        <w:t xml:space="preserve">of </w:t>
      </w:r>
      <w:r w:rsidR="00B656FF">
        <w:rPr>
          <w:sz w:val="24"/>
        </w:rPr>
        <w:t>16 TAC § 25.107(g)(1)(E).</w:t>
      </w:r>
    </w:p>
    <w:p w14:paraId="57C733DD" w14:textId="77777777" w:rsidR="00AE0AA1" w:rsidRDefault="00AE0AA1" w:rsidP="00EC2E65">
      <w:pPr>
        <w:autoSpaceDE w:val="0"/>
        <w:autoSpaceDN w:val="0"/>
        <w:adjustRightInd w:val="0"/>
        <w:jc w:val="both"/>
        <w:rPr>
          <w:sz w:val="24"/>
        </w:rPr>
      </w:pPr>
    </w:p>
    <w:p w14:paraId="445AECCF" w14:textId="00F3247E" w:rsidR="000A13C3" w:rsidRDefault="00A01232" w:rsidP="00EC2E65">
      <w:pPr>
        <w:autoSpaceDE w:val="0"/>
        <w:autoSpaceDN w:val="0"/>
        <w:adjustRightInd w:val="0"/>
        <w:jc w:val="both"/>
        <w:rPr>
          <w:i/>
          <w:iCs/>
          <w:sz w:val="24"/>
        </w:rPr>
      </w:pPr>
      <w:r>
        <w:rPr>
          <w:i/>
          <w:iCs/>
          <w:sz w:val="24"/>
        </w:rPr>
        <w:t>Customer Deposits</w:t>
      </w:r>
    </w:p>
    <w:p w14:paraId="0ACB99E4" w14:textId="3FDB886F" w:rsidR="00A01232" w:rsidRDefault="00A01232" w:rsidP="00EC2E65">
      <w:pPr>
        <w:autoSpaceDE w:val="0"/>
        <w:autoSpaceDN w:val="0"/>
        <w:adjustRightInd w:val="0"/>
        <w:jc w:val="both"/>
        <w:rPr>
          <w:i/>
          <w:iCs/>
          <w:sz w:val="24"/>
        </w:rPr>
      </w:pPr>
    </w:p>
    <w:p w14:paraId="640DF00A" w14:textId="661B68A7" w:rsidR="00A01232" w:rsidRDefault="00A01232" w:rsidP="00B656FF">
      <w:pPr>
        <w:autoSpaceDE w:val="0"/>
        <w:autoSpaceDN w:val="0"/>
        <w:adjustRightInd w:val="0"/>
        <w:jc w:val="both"/>
        <w:rPr>
          <w:sz w:val="24"/>
        </w:rPr>
      </w:pPr>
      <w:r>
        <w:rPr>
          <w:sz w:val="24"/>
        </w:rPr>
        <w:t xml:space="preserve">In </w:t>
      </w:r>
      <w:r w:rsidR="00F450BD">
        <w:rPr>
          <w:sz w:val="24"/>
        </w:rPr>
        <w:t xml:space="preserve">its </w:t>
      </w:r>
      <w:r>
        <w:rPr>
          <w:sz w:val="24"/>
        </w:rPr>
        <w:t xml:space="preserve">Application, Energy Monger stated that </w:t>
      </w:r>
      <w:r w:rsidR="00F450BD">
        <w:rPr>
          <w:sz w:val="24"/>
        </w:rPr>
        <w:t xml:space="preserve">it </w:t>
      </w:r>
      <w:r>
        <w:rPr>
          <w:sz w:val="24"/>
        </w:rPr>
        <w:t xml:space="preserve">wished to collect customer deposits. 16 TAC </w:t>
      </w:r>
      <w:r w:rsidRPr="00A01232">
        <w:rPr>
          <w:sz w:val="24"/>
        </w:rPr>
        <w:t>§ 25.107(f)(2)(B), states the following:</w:t>
      </w:r>
    </w:p>
    <w:p w14:paraId="7353393E" w14:textId="5AC7E8B9" w:rsidR="00A01232" w:rsidRDefault="00A01232" w:rsidP="00A01232">
      <w:pPr>
        <w:autoSpaceDE w:val="0"/>
        <w:autoSpaceDN w:val="0"/>
        <w:adjustRightInd w:val="0"/>
        <w:rPr>
          <w:sz w:val="24"/>
        </w:rPr>
      </w:pPr>
    </w:p>
    <w:p w14:paraId="4237DBF2" w14:textId="7C42A2BA" w:rsidR="00A01232" w:rsidRPr="00A01232" w:rsidRDefault="00A01232" w:rsidP="00AA7313">
      <w:pPr>
        <w:autoSpaceDE w:val="0"/>
        <w:autoSpaceDN w:val="0"/>
        <w:adjustRightInd w:val="0"/>
        <w:ind w:left="720" w:right="720"/>
        <w:jc w:val="both"/>
        <w:rPr>
          <w:sz w:val="24"/>
          <w:szCs w:val="24"/>
        </w:rPr>
      </w:pPr>
      <w:r w:rsidRPr="00A01232">
        <w:rPr>
          <w:sz w:val="24"/>
          <w:szCs w:val="24"/>
        </w:rPr>
        <w:t>A REP certified pursuant to paragraph (1)(B) of this subsection shall keep customer deposits and residential advance payments in an escrow account or segregated cash account, or provide an irrevocable stand-by letter of credit payable to the [C]</w:t>
      </w:r>
      <w:proofErr w:type="spellStart"/>
      <w:r w:rsidRPr="00A01232">
        <w:rPr>
          <w:sz w:val="24"/>
          <w:szCs w:val="24"/>
        </w:rPr>
        <w:t>ommission</w:t>
      </w:r>
      <w:proofErr w:type="spellEnd"/>
      <w:r w:rsidRPr="00A01232">
        <w:rPr>
          <w:sz w:val="24"/>
          <w:szCs w:val="24"/>
        </w:rPr>
        <w:t xml:space="preserve"> in an amount sufficient to cover 100% of the </w:t>
      </w:r>
      <w:proofErr w:type="spellStart"/>
      <w:r w:rsidRPr="00A01232">
        <w:rPr>
          <w:sz w:val="24"/>
          <w:szCs w:val="24"/>
        </w:rPr>
        <w:t>REP</w:t>
      </w:r>
      <w:r>
        <w:rPr>
          <w:sz w:val="24"/>
          <w:szCs w:val="24"/>
        </w:rPr>
        <w:t>’</w:t>
      </w:r>
      <w:r w:rsidRPr="00A01232">
        <w:rPr>
          <w:sz w:val="24"/>
          <w:szCs w:val="24"/>
        </w:rPr>
        <w:t>s</w:t>
      </w:r>
      <w:proofErr w:type="spellEnd"/>
      <w:r w:rsidRPr="00A01232">
        <w:rPr>
          <w:sz w:val="24"/>
          <w:szCs w:val="24"/>
        </w:rPr>
        <w:t xml:space="preserve"> outstanding customer deposits and residential advance payments held at the close of each month. For purposes of this subparagraph only, to qualify as a segregated cash account, the account must be with a financial institution whose deposits, including the deposits in the segregated cash account, are insured by the Federal Deposit Insurance Corporation, the account is designated as containing only customer deposits, the account is subject to the control or management of a provider of pervasive and comprehensive credit to the REP that is not affiliated with the REP, and the terms for managing the account protect customer deposits.</w:t>
      </w:r>
    </w:p>
    <w:p w14:paraId="17012CDE" w14:textId="2369B474" w:rsidR="000A13C3" w:rsidRDefault="000A13C3" w:rsidP="00EC2E65">
      <w:pPr>
        <w:autoSpaceDE w:val="0"/>
        <w:autoSpaceDN w:val="0"/>
        <w:adjustRightInd w:val="0"/>
        <w:jc w:val="both"/>
        <w:rPr>
          <w:sz w:val="24"/>
        </w:rPr>
      </w:pPr>
    </w:p>
    <w:p w14:paraId="293C9BC9" w14:textId="726C1AD3" w:rsidR="00A01232" w:rsidRDefault="00A01232" w:rsidP="00EC2E65">
      <w:pPr>
        <w:autoSpaceDE w:val="0"/>
        <w:autoSpaceDN w:val="0"/>
        <w:adjustRightInd w:val="0"/>
        <w:jc w:val="both"/>
        <w:rPr>
          <w:sz w:val="24"/>
        </w:rPr>
      </w:pPr>
      <w:r>
        <w:rPr>
          <w:sz w:val="24"/>
        </w:rPr>
        <w:t>Energy Monger has provided the necessary information on a</w:t>
      </w:r>
      <w:r w:rsidR="00B656FF">
        <w:rPr>
          <w:sz w:val="24"/>
        </w:rPr>
        <w:t xml:space="preserve">n </w:t>
      </w:r>
      <w:r>
        <w:rPr>
          <w:sz w:val="24"/>
        </w:rPr>
        <w:t xml:space="preserve">account to demonstrate compliance with 16 TAC </w:t>
      </w:r>
      <w:r w:rsidRPr="00A01232">
        <w:rPr>
          <w:sz w:val="24"/>
        </w:rPr>
        <w:t>§ 25.107(f)(2)(B</w:t>
      </w:r>
      <w:r>
        <w:rPr>
          <w:sz w:val="24"/>
        </w:rPr>
        <w:t>).</w:t>
      </w:r>
    </w:p>
    <w:p w14:paraId="1C684E13" w14:textId="2234B923" w:rsidR="00A01232" w:rsidRDefault="00A01232" w:rsidP="00EC2E65">
      <w:pPr>
        <w:autoSpaceDE w:val="0"/>
        <w:autoSpaceDN w:val="0"/>
        <w:adjustRightInd w:val="0"/>
        <w:jc w:val="both"/>
        <w:rPr>
          <w:sz w:val="24"/>
        </w:rPr>
      </w:pPr>
    </w:p>
    <w:p w14:paraId="5BAF27A4" w14:textId="699093B2" w:rsidR="00F450BD" w:rsidRDefault="00F450BD" w:rsidP="00EC2E65">
      <w:pPr>
        <w:autoSpaceDE w:val="0"/>
        <w:autoSpaceDN w:val="0"/>
        <w:adjustRightInd w:val="0"/>
        <w:jc w:val="both"/>
        <w:rPr>
          <w:sz w:val="24"/>
        </w:rPr>
      </w:pPr>
    </w:p>
    <w:p w14:paraId="6A7EFAB0" w14:textId="246428C7" w:rsidR="00F450BD" w:rsidRDefault="00F450BD" w:rsidP="00EC2E65">
      <w:pPr>
        <w:autoSpaceDE w:val="0"/>
        <w:autoSpaceDN w:val="0"/>
        <w:adjustRightInd w:val="0"/>
        <w:jc w:val="both"/>
        <w:rPr>
          <w:sz w:val="24"/>
        </w:rPr>
      </w:pPr>
    </w:p>
    <w:p w14:paraId="317D10EB" w14:textId="77777777" w:rsidR="00F450BD" w:rsidRPr="00A01232" w:rsidRDefault="00F450BD" w:rsidP="00EC2E65">
      <w:pPr>
        <w:autoSpaceDE w:val="0"/>
        <w:autoSpaceDN w:val="0"/>
        <w:adjustRightInd w:val="0"/>
        <w:jc w:val="both"/>
        <w:rPr>
          <w:sz w:val="24"/>
        </w:rPr>
      </w:pPr>
    </w:p>
    <w:p w14:paraId="0F81C03F" w14:textId="14A458A7" w:rsidR="000A13C3" w:rsidRDefault="000A13C3" w:rsidP="00EC2E65">
      <w:pPr>
        <w:autoSpaceDE w:val="0"/>
        <w:autoSpaceDN w:val="0"/>
        <w:adjustRightInd w:val="0"/>
        <w:jc w:val="both"/>
        <w:rPr>
          <w:b/>
          <w:bCs/>
          <w:sz w:val="24"/>
          <w:u w:val="single"/>
        </w:rPr>
      </w:pPr>
      <w:r>
        <w:rPr>
          <w:b/>
          <w:bCs/>
          <w:sz w:val="24"/>
          <w:u w:val="single"/>
        </w:rPr>
        <w:lastRenderedPageBreak/>
        <w:t>Recommendation</w:t>
      </w:r>
    </w:p>
    <w:p w14:paraId="7FE9C28D" w14:textId="45D98ACA" w:rsidR="000A13C3" w:rsidRDefault="000A13C3" w:rsidP="00EC2E65">
      <w:pPr>
        <w:autoSpaceDE w:val="0"/>
        <w:autoSpaceDN w:val="0"/>
        <w:adjustRightInd w:val="0"/>
        <w:jc w:val="both"/>
        <w:rPr>
          <w:b/>
          <w:bCs/>
          <w:sz w:val="24"/>
          <w:u w:val="single"/>
        </w:rPr>
      </w:pPr>
    </w:p>
    <w:p w14:paraId="45AE530E" w14:textId="7AB76CE7" w:rsidR="000A13C3" w:rsidRPr="000A13C3" w:rsidRDefault="000A13C3" w:rsidP="00EC2E65">
      <w:pPr>
        <w:autoSpaceDE w:val="0"/>
        <w:autoSpaceDN w:val="0"/>
        <w:adjustRightInd w:val="0"/>
        <w:jc w:val="both"/>
      </w:pPr>
      <w:r>
        <w:rPr>
          <w:sz w:val="24"/>
        </w:rPr>
        <w:t>Energy Monger has provided documentation to demonstrate compliance with 16 TAC §</w:t>
      </w:r>
      <w:r w:rsidR="00AA7313">
        <w:rPr>
          <w:sz w:val="24"/>
        </w:rPr>
        <w:t> </w:t>
      </w:r>
      <w:bookmarkStart w:id="0" w:name="_GoBack"/>
      <w:bookmarkEnd w:id="0"/>
      <w:r>
        <w:rPr>
          <w:sz w:val="24"/>
        </w:rPr>
        <w:t xml:space="preserve">25.107(f)(1)(B), </w:t>
      </w:r>
      <w:r w:rsidR="00B656FF">
        <w:rPr>
          <w:sz w:val="24"/>
        </w:rPr>
        <w:t xml:space="preserve">§ 25.107(g)(1)(E), and </w:t>
      </w:r>
      <w:r w:rsidR="00B656FF" w:rsidRPr="00A01232">
        <w:rPr>
          <w:sz w:val="24"/>
        </w:rPr>
        <w:t>§ 25.107(f)(2)(B</w:t>
      </w:r>
      <w:r w:rsidR="00B656FF">
        <w:rPr>
          <w:sz w:val="24"/>
        </w:rPr>
        <w:t xml:space="preserve">). </w:t>
      </w:r>
      <w:r w:rsidR="006D0363">
        <w:rPr>
          <w:sz w:val="24"/>
        </w:rPr>
        <w:t xml:space="preserve">Therefore, </w:t>
      </w:r>
      <w:r>
        <w:rPr>
          <w:sz w:val="24"/>
        </w:rPr>
        <w:t>Commission Staff recommends that the Application be approved from a financial perspective</w:t>
      </w:r>
      <w:r w:rsidR="00F450BD">
        <w:rPr>
          <w:sz w:val="24"/>
        </w:rPr>
        <w:t>.</w:t>
      </w:r>
    </w:p>
    <w:sectPr w:rsidR="000A13C3" w:rsidRPr="000A13C3" w:rsidSect="00AA7313">
      <w:type w:val="continuous"/>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1AB30" w14:textId="77777777" w:rsidR="00FD054C" w:rsidRDefault="00FD054C">
      <w:r>
        <w:separator/>
      </w:r>
    </w:p>
  </w:endnote>
  <w:endnote w:type="continuationSeparator" w:id="0">
    <w:p w14:paraId="27092EBB" w14:textId="77777777" w:rsidR="00FD054C" w:rsidRDefault="00FD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FDF3B" w14:textId="77777777" w:rsidR="008E3872" w:rsidRDefault="008E3872">
    <w:pPr>
      <w:pStyle w:val="Footer"/>
    </w:pPr>
    <w:r>
      <w:rPr>
        <w:snapToGrid w:val="0"/>
      </w:rPr>
      <w:tab/>
      <w:t xml:space="preserve">Page </w:t>
    </w:r>
    <w:r>
      <w:rPr>
        <w:snapToGrid w:val="0"/>
      </w:rPr>
      <w:fldChar w:fldCharType="begin"/>
    </w:r>
    <w:r>
      <w:rPr>
        <w:snapToGrid w:val="0"/>
      </w:rPr>
      <w:instrText xml:space="preserve"> PAGE </w:instrText>
    </w:r>
    <w:r>
      <w:rPr>
        <w:snapToGrid w:val="0"/>
      </w:rPr>
      <w:fldChar w:fldCharType="separate"/>
    </w:r>
    <w:r w:rsidR="004F4207">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4F4207">
      <w:rPr>
        <w:noProof/>
        <w:snapToGrid w:val="0"/>
      </w:rPr>
      <w:t>1</w:t>
    </w:r>
    <w:r>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A3C71" w14:textId="77777777" w:rsidR="00FD054C" w:rsidRDefault="00FD054C">
      <w:r>
        <w:separator/>
      </w:r>
    </w:p>
  </w:footnote>
  <w:footnote w:type="continuationSeparator" w:id="0">
    <w:p w14:paraId="6FC6E904" w14:textId="77777777" w:rsidR="00FD054C" w:rsidRDefault="00FD0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A2DBC" w14:textId="77777777" w:rsidR="008E3872" w:rsidRDefault="008E3872">
    <w:pPr>
      <w:pStyle w:val="Header"/>
      <w:jc w:val="center"/>
      <w:rPr>
        <w:b/>
        <w:i/>
        <w:sz w:val="38"/>
      </w:rPr>
    </w:pPr>
    <w:r>
      <w:rPr>
        <w:b/>
        <w:i/>
        <w:sz w:val="38"/>
      </w:rPr>
      <w:t xml:space="preserve">Public Utility Commission of </w:t>
    </w:r>
    <w:smartTag w:uri="urn:schemas-microsoft-com:office:smarttags" w:element="State">
      <w:smartTag w:uri="urn:schemas-microsoft-com:office:smarttags" w:element="place">
        <w:r>
          <w:rPr>
            <w:b/>
            <w:i/>
            <w:sz w:val="38"/>
          </w:rPr>
          <w:t>Texas</w:t>
        </w:r>
      </w:smartTag>
    </w:smartTag>
  </w:p>
  <w:p w14:paraId="592969D0" w14:textId="77777777" w:rsidR="008E3872" w:rsidRDefault="008E3872">
    <w:pPr>
      <w:pStyle w:val="Header"/>
      <w:tabs>
        <w:tab w:val="clear" w:pos="4320"/>
        <w:tab w:val="left" w:pos="1800"/>
        <w:tab w:val="left" w:pos="6840"/>
      </w:tabs>
      <w:spacing w:before="120" w:after="120"/>
      <w:rPr>
        <w:b/>
        <w:sz w:val="12"/>
      </w:rPr>
    </w:pPr>
    <w:r>
      <w:rPr>
        <w:b/>
        <w:sz w:val="12"/>
      </w:rPr>
      <w:tab/>
    </w:r>
    <w:r>
      <w:rPr>
        <w:b/>
        <w:sz w:val="12"/>
        <w:u w:val="single"/>
      </w:rPr>
      <w:tab/>
    </w:r>
  </w:p>
  <w:p w14:paraId="24CD30EC" w14:textId="77777777" w:rsidR="008E3872" w:rsidRDefault="008E3872" w:rsidP="003E5B27">
    <w:pPr>
      <w:pStyle w:val="Header"/>
      <w:tabs>
        <w:tab w:val="left" w:pos="1980"/>
        <w:tab w:val="left" w:pos="6750"/>
      </w:tabs>
      <w:spacing w:after="240"/>
      <w:jc w:val="center"/>
      <w:rPr>
        <w:b/>
        <w:sz w:val="38"/>
      </w:rPr>
    </w:pPr>
    <w:r>
      <w:rPr>
        <w:b/>
        <w:sz w:val="38"/>
      </w:rPr>
      <w:t>Memorandum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E7147"/>
    <w:multiLevelType w:val="hybridMultilevel"/>
    <w:tmpl w:val="B7720504"/>
    <w:lvl w:ilvl="0" w:tplc="230CDB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165247"/>
    <w:multiLevelType w:val="hybridMultilevel"/>
    <w:tmpl w:val="0E3C5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F066FD"/>
    <w:multiLevelType w:val="hybridMultilevel"/>
    <w:tmpl w:val="6E368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484E0E"/>
    <w:multiLevelType w:val="hybridMultilevel"/>
    <w:tmpl w:val="D0583C8E"/>
    <w:lvl w:ilvl="0" w:tplc="17BE47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388675D"/>
    <w:multiLevelType w:val="hybridMultilevel"/>
    <w:tmpl w:val="30D814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D1F"/>
    <w:rsid w:val="00044036"/>
    <w:rsid w:val="00056F29"/>
    <w:rsid w:val="00093A0A"/>
    <w:rsid w:val="000A13C3"/>
    <w:rsid w:val="000F11CE"/>
    <w:rsid w:val="00147045"/>
    <w:rsid w:val="001A2AAE"/>
    <w:rsid w:val="001A4F04"/>
    <w:rsid w:val="001E69AC"/>
    <w:rsid w:val="0022283E"/>
    <w:rsid w:val="00270EC6"/>
    <w:rsid w:val="00281EE0"/>
    <w:rsid w:val="002B2A3F"/>
    <w:rsid w:val="002D73E3"/>
    <w:rsid w:val="002F44F8"/>
    <w:rsid w:val="00313B39"/>
    <w:rsid w:val="003B66E8"/>
    <w:rsid w:val="003E5B27"/>
    <w:rsid w:val="003F5FC8"/>
    <w:rsid w:val="0042390B"/>
    <w:rsid w:val="0049664C"/>
    <w:rsid w:val="004B0489"/>
    <w:rsid w:val="004D421B"/>
    <w:rsid w:val="004F4207"/>
    <w:rsid w:val="0052372E"/>
    <w:rsid w:val="005402B8"/>
    <w:rsid w:val="00567B9F"/>
    <w:rsid w:val="00582C4D"/>
    <w:rsid w:val="0059211B"/>
    <w:rsid w:val="00597B26"/>
    <w:rsid w:val="005A080A"/>
    <w:rsid w:val="005C382D"/>
    <w:rsid w:val="005E459E"/>
    <w:rsid w:val="005F0224"/>
    <w:rsid w:val="005F5ABB"/>
    <w:rsid w:val="005F6786"/>
    <w:rsid w:val="006161D5"/>
    <w:rsid w:val="006545A1"/>
    <w:rsid w:val="00657ACB"/>
    <w:rsid w:val="006D0363"/>
    <w:rsid w:val="00705D1F"/>
    <w:rsid w:val="00711283"/>
    <w:rsid w:val="00732686"/>
    <w:rsid w:val="00761EE2"/>
    <w:rsid w:val="007E4AAD"/>
    <w:rsid w:val="007E7A7A"/>
    <w:rsid w:val="00863CDD"/>
    <w:rsid w:val="0088133C"/>
    <w:rsid w:val="0089382B"/>
    <w:rsid w:val="008C4D7D"/>
    <w:rsid w:val="008E3872"/>
    <w:rsid w:val="00947F9E"/>
    <w:rsid w:val="00967F9B"/>
    <w:rsid w:val="0099607F"/>
    <w:rsid w:val="009A7065"/>
    <w:rsid w:val="009B345E"/>
    <w:rsid w:val="009D17E4"/>
    <w:rsid w:val="00A01232"/>
    <w:rsid w:val="00AA7313"/>
    <w:rsid w:val="00AE0AA1"/>
    <w:rsid w:val="00AF2E32"/>
    <w:rsid w:val="00B656FF"/>
    <w:rsid w:val="00BD1586"/>
    <w:rsid w:val="00C4347E"/>
    <w:rsid w:val="00C90D29"/>
    <w:rsid w:val="00D126BB"/>
    <w:rsid w:val="00D41F0C"/>
    <w:rsid w:val="00D70E7D"/>
    <w:rsid w:val="00E45771"/>
    <w:rsid w:val="00E642CB"/>
    <w:rsid w:val="00E64583"/>
    <w:rsid w:val="00E8394C"/>
    <w:rsid w:val="00EA2525"/>
    <w:rsid w:val="00EC2E65"/>
    <w:rsid w:val="00EF0501"/>
    <w:rsid w:val="00F023E7"/>
    <w:rsid w:val="00F40A8C"/>
    <w:rsid w:val="00F450BD"/>
    <w:rsid w:val="00F54886"/>
    <w:rsid w:val="00FD054C"/>
    <w:rsid w:val="00FD719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5E029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tabs>
        <w:tab w:val="left" w:pos="1170"/>
      </w:tabs>
      <w:outlineLvl w:val="0"/>
    </w:pPr>
    <w:rPr>
      <w:sz w:val="24"/>
    </w:rPr>
  </w:style>
  <w:style w:type="paragraph" w:styleId="Heading2">
    <w:name w:val="heading 2"/>
    <w:basedOn w:val="Normal"/>
    <w:next w:val="Normal"/>
    <w:qFormat/>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1170"/>
      </w:tabs>
      <w:jc w:val="both"/>
    </w:pPr>
    <w:rPr>
      <w:sz w:val="24"/>
    </w:rPr>
  </w:style>
  <w:style w:type="paragraph" w:styleId="BalloonText">
    <w:name w:val="Balloon Text"/>
    <w:basedOn w:val="Normal"/>
    <w:link w:val="BalloonTextChar"/>
    <w:rsid w:val="002F44F8"/>
    <w:rPr>
      <w:rFonts w:ascii="Tahoma" w:hAnsi="Tahoma" w:cs="Tahoma"/>
      <w:sz w:val="16"/>
      <w:szCs w:val="16"/>
    </w:rPr>
  </w:style>
  <w:style w:type="character" w:customStyle="1" w:styleId="BalloonTextChar">
    <w:name w:val="Balloon Text Char"/>
    <w:link w:val="BalloonText"/>
    <w:rsid w:val="002F44F8"/>
    <w:rPr>
      <w:rFonts w:ascii="Tahoma" w:hAnsi="Tahoma" w:cs="Tahoma"/>
      <w:sz w:val="16"/>
      <w:szCs w:val="16"/>
    </w:rPr>
  </w:style>
  <w:style w:type="paragraph" w:styleId="FootnoteText">
    <w:name w:val="footnote text"/>
    <w:basedOn w:val="Normal"/>
    <w:link w:val="FootnoteTextChar"/>
    <w:uiPriority w:val="99"/>
    <w:unhideWhenUsed/>
    <w:rsid w:val="003E5B27"/>
    <w:rPr>
      <w:rFonts w:ascii="Calibri" w:eastAsia="Calibri" w:hAnsi="Calibri"/>
    </w:rPr>
  </w:style>
  <w:style w:type="character" w:customStyle="1" w:styleId="FootnoteTextChar">
    <w:name w:val="Footnote Text Char"/>
    <w:link w:val="FootnoteText"/>
    <w:uiPriority w:val="99"/>
    <w:rsid w:val="003E5B27"/>
    <w:rPr>
      <w:rFonts w:ascii="Calibri" w:eastAsia="Calibri" w:hAnsi="Calibri"/>
    </w:rPr>
  </w:style>
  <w:style w:type="character" w:styleId="FootnoteReference">
    <w:name w:val="footnote reference"/>
    <w:uiPriority w:val="99"/>
    <w:unhideWhenUsed/>
    <w:rsid w:val="003E5B27"/>
    <w:rPr>
      <w:vertAlign w:val="superscript"/>
    </w:rPr>
  </w:style>
  <w:style w:type="paragraph" w:styleId="ListParagraph">
    <w:name w:val="List Paragraph"/>
    <w:basedOn w:val="Normal"/>
    <w:uiPriority w:val="34"/>
    <w:qFormat/>
    <w:rsid w:val="003E5B27"/>
    <w:pPr>
      <w:spacing w:after="160" w:line="259" w:lineRule="auto"/>
      <w:ind w:left="720"/>
      <w:contextualSpacing/>
    </w:pPr>
    <w:rPr>
      <w:rFonts w:ascii="Calibri" w:eastAsia="Calibri" w:hAnsi="Calibri"/>
      <w:sz w:val="22"/>
      <w:szCs w:val="22"/>
    </w:rPr>
  </w:style>
  <w:style w:type="character" w:styleId="Hyperlink">
    <w:name w:val="Hyperlink"/>
    <w:uiPriority w:val="99"/>
    <w:unhideWhenUsed/>
    <w:rsid w:val="003E5B27"/>
    <w:rPr>
      <w:color w:val="0563C1"/>
      <w:u w:val="single"/>
    </w:rPr>
  </w:style>
  <w:style w:type="character" w:customStyle="1" w:styleId="apple-converted-space">
    <w:name w:val="apple-converted-space"/>
    <w:rsid w:val="00281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9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718</Words>
  <Characters>4106</Characters>
  <Application>Microsoft Office Word</Application>
  <DocSecurity>0</DocSecurity>
  <Lines>34</Lines>
  <Paragraphs>9</Paragraphs>
  <ScaleCrop>false</ScaleCrop>
  <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2020-09-03T13:48:00Z</dcterms:created>
  <dcterms:modified xsi:type="dcterms:W3CDTF">2020-09-03T13:48:00Z</dcterms:modified>
</cp:coreProperties>
</file>